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4"/>
        <w:tblW w:w="11165" w:type="dxa"/>
        <w:tblLayout w:type="fixed"/>
        <w:tblLook w:val="0000"/>
      </w:tblPr>
      <w:tblGrid>
        <w:gridCol w:w="4329"/>
        <w:gridCol w:w="894"/>
        <w:gridCol w:w="5942"/>
      </w:tblGrid>
      <w:tr w:rsidR="00D04589" w:rsidTr="00D04589">
        <w:trPr>
          <w:cantSplit/>
          <w:trHeight w:val="387"/>
        </w:trPr>
        <w:tc>
          <w:tcPr>
            <w:tcW w:w="4329" w:type="dxa"/>
            <w:vMerge w:val="restart"/>
            <w:shd w:val="clear" w:color="auto" w:fill="auto"/>
          </w:tcPr>
          <w:p w:rsidR="00D04589" w:rsidRPr="00A45D19" w:rsidRDefault="00D04589" w:rsidP="00D04589">
            <w:pPr>
              <w:jc w:val="both"/>
              <w:rPr>
                <w:rFonts w:ascii="Garamond" w:hAnsi="Garamond" w:cs="Tahoma"/>
                <w:color w:val="000000"/>
                <w:lang w:val="en-US"/>
              </w:rPr>
            </w:pPr>
          </w:p>
          <w:p w:rsidR="00D04589" w:rsidRDefault="00D04589" w:rsidP="00D04589">
            <w:pPr>
              <w:jc w:val="both"/>
              <w:rPr>
                <w:b/>
                <w:sz w:val="18"/>
                <w:szCs w:val="18"/>
              </w:rPr>
            </w:pPr>
          </w:p>
          <w:p w:rsidR="00D04589" w:rsidRDefault="00EE08A5" w:rsidP="00D04589">
            <w:pPr>
              <w:ind w:left="180"/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.7pt;margin-top:.4pt;width:239.15pt;height:169.9pt;z-index:251660288" strokecolor="white">
                  <v:textbox style="mso-next-textbox:#_x0000_s1028">
                    <w:txbxContent>
                      <w:p w:rsidR="00D04589" w:rsidRDefault="00D04589" w:rsidP="00D0458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76250" cy="438150"/>
                              <wp:effectExtent l="19050" t="0" r="0" b="0"/>
                              <wp:docPr id="3" name="Εικόνα 1" descr="ETHNOSHMO_COL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THNOSHMO_COL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4589" w:rsidRPr="008137F0" w:rsidRDefault="00D04589" w:rsidP="00D0458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D04589" w:rsidRPr="00DC0E44" w:rsidRDefault="00D04589" w:rsidP="00D0458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>ΥΠΟΥΡΓΕΙΟ   ΠΑΙΔΕΙΑΣ, ΕΡΕΥΝΑΣ</w:t>
                        </w:r>
                      </w:p>
                      <w:p w:rsidR="00D04589" w:rsidRPr="00DC0E44" w:rsidRDefault="00D04589" w:rsidP="00D0458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ΚΑΙ ΘΡΗΣΚΕΥΜΑΤΩΝ </w:t>
                        </w:r>
                      </w:p>
                      <w:p w:rsidR="00D04589" w:rsidRPr="00DC0E44" w:rsidRDefault="00D04589" w:rsidP="00D04589">
                        <w:pPr>
                          <w:ind w:left="18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 xml:space="preserve">                     ----------</w:t>
                        </w:r>
                      </w:p>
                      <w:p w:rsidR="00D04589" w:rsidRDefault="00D04589" w:rsidP="00D04589">
                        <w:pPr>
                          <w:ind w:left="18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ΠΕΡΙΦΕΡΕΙΑΚΗ Δ/ΝΣΗ  Π. &amp; Δ. </w:t>
                        </w:r>
                      </w:p>
                      <w:p w:rsidR="00D04589" w:rsidRPr="00DC0E44" w:rsidRDefault="00D04589" w:rsidP="00D04589">
                        <w:pPr>
                          <w:ind w:left="18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ΕΚΠ/ΣΗΣ </w:t>
                        </w: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ΑΤΤΙΚΗΣ</w:t>
                        </w:r>
                      </w:p>
                      <w:p w:rsidR="00D04589" w:rsidRPr="00DC0E44" w:rsidRDefault="00D04589" w:rsidP="00D0458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                       ………</w:t>
                        </w:r>
                      </w:p>
                      <w:p w:rsidR="00D04589" w:rsidRPr="00DC0E44" w:rsidRDefault="00D04589" w:rsidP="00D0458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2ο ΠΕΡΙΦΕΡΕΙΑΚΟ   ΕΠΙΜΟΡΦΩΤΙΚΟ </w:t>
                        </w:r>
                      </w:p>
                      <w:p w:rsidR="00D04589" w:rsidRDefault="00D04589" w:rsidP="00D0458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               ΚΕΝΤΡΟ (Π.Ε.Κ)  ΑΘΗΝΑΣ</w:t>
                        </w:r>
                      </w:p>
                      <w:p w:rsidR="00D04589" w:rsidRDefault="00D04589" w:rsidP="00D0458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04589" w:rsidRDefault="00D04589" w:rsidP="00D04589">
                        <w:pPr>
                          <w:rPr>
                            <w:sz w:val="22"/>
                            <w:szCs w:val="22"/>
                          </w:rPr>
                        </w:pPr>
                        <w:r w:rsidRPr="00BC65D2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BC65D2">
                          <w:rPr>
                            <w:sz w:val="22"/>
                            <w:szCs w:val="22"/>
                          </w:rPr>
                          <w:t>αχ.Δνση: Ανδρέα Μεταξά 7</w:t>
                        </w:r>
                      </w:p>
                      <w:p w:rsidR="00D04589" w:rsidRPr="00BC65D2" w:rsidRDefault="00D04589" w:rsidP="00D0458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04589" w:rsidRPr="000F561A" w:rsidRDefault="00D04589" w:rsidP="00D0458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561A">
                          <w:rPr>
                            <w:b/>
                            <w:sz w:val="20"/>
                            <w:szCs w:val="20"/>
                          </w:rPr>
                          <w:t xml:space="preserve"> 15237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,</w:t>
                        </w:r>
                        <w:r w:rsidRPr="000F561A">
                          <w:rPr>
                            <w:b/>
                            <w:sz w:val="20"/>
                            <w:szCs w:val="20"/>
                          </w:rPr>
                          <w:t xml:space="preserve"> Φιλοθέη  </w:t>
                        </w:r>
                      </w:p>
                      <w:p w:rsidR="00D04589" w:rsidRPr="00DC0E44" w:rsidRDefault="00D04589" w:rsidP="00D045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04589" w:rsidRDefault="00D04589" w:rsidP="00D04589">
                        <w:pPr>
                          <w:ind w:left="18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D04589" w:rsidRDefault="00D04589" w:rsidP="00D04589">
                        <w:pPr>
                          <w:ind w:left="18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                   2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ΠΕΚ ΑΘΗΝΑΣ</w:t>
                        </w:r>
                      </w:p>
                      <w:p w:rsidR="00D04589" w:rsidRDefault="00D04589" w:rsidP="00D04589">
                        <w:pPr>
                          <w:ind w:left="-568" w:right="-355"/>
                          <w:jc w:val="center"/>
                          <w:rPr>
                            <w:sz w:val="20"/>
                          </w:rPr>
                        </w:pPr>
                      </w:p>
                      <w:p w:rsidR="00D04589" w:rsidRDefault="00D04589" w:rsidP="00D0458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04589" w:rsidRDefault="00D04589" w:rsidP="00D04589">
            <w:pPr>
              <w:ind w:left="180"/>
              <w:jc w:val="center"/>
            </w:pPr>
          </w:p>
          <w:p w:rsidR="00D04589" w:rsidRDefault="00D04589" w:rsidP="00D04589">
            <w:pPr>
              <w:ind w:left="180"/>
              <w:jc w:val="center"/>
              <w:rPr>
                <w:b/>
              </w:rPr>
            </w:pPr>
          </w:p>
          <w:p w:rsidR="00D04589" w:rsidRDefault="00D04589" w:rsidP="00D04589">
            <w:pPr>
              <w:ind w:left="180"/>
              <w:jc w:val="center"/>
              <w:rPr>
                <w:b/>
              </w:rPr>
            </w:pPr>
          </w:p>
          <w:p w:rsidR="00D04589" w:rsidRDefault="00D04589" w:rsidP="00D04589">
            <w:pPr>
              <w:rPr>
                <w:bCs/>
                <w:sz w:val="22"/>
                <w:szCs w:val="22"/>
              </w:rPr>
            </w:pPr>
          </w:p>
          <w:p w:rsidR="00D04589" w:rsidRDefault="00D04589" w:rsidP="00D04589">
            <w:pPr>
              <w:rPr>
                <w:bCs/>
                <w:sz w:val="22"/>
                <w:szCs w:val="22"/>
              </w:rPr>
            </w:pPr>
          </w:p>
          <w:p w:rsidR="00D04589" w:rsidRDefault="00D04589" w:rsidP="00D04589">
            <w:pPr>
              <w:rPr>
                <w:bCs/>
                <w:sz w:val="22"/>
                <w:szCs w:val="22"/>
              </w:rPr>
            </w:pPr>
          </w:p>
          <w:p w:rsidR="00D04589" w:rsidRDefault="00D04589" w:rsidP="00D04589">
            <w:pPr>
              <w:rPr>
                <w:bCs/>
                <w:sz w:val="22"/>
                <w:szCs w:val="22"/>
              </w:rPr>
            </w:pPr>
          </w:p>
          <w:p w:rsidR="00D04589" w:rsidRDefault="00D04589" w:rsidP="00D04589">
            <w:pPr>
              <w:rPr>
                <w:bCs/>
                <w:sz w:val="22"/>
                <w:szCs w:val="22"/>
              </w:rPr>
            </w:pPr>
          </w:p>
          <w:p w:rsidR="00D04589" w:rsidRDefault="00D04589" w:rsidP="00D045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Ανδρέα Μεταξά 7</w:t>
            </w:r>
          </w:p>
          <w:p w:rsidR="00D04589" w:rsidRDefault="00D04589" w:rsidP="00D0458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Τ.Κ. </w:t>
            </w:r>
            <w:r>
              <w:rPr>
                <w:bCs/>
                <w:sz w:val="22"/>
                <w:szCs w:val="22"/>
              </w:rPr>
              <w:t>15237 – Φιλοθέη – Αθήνα</w:t>
            </w:r>
          </w:p>
          <w:p w:rsidR="00D04589" w:rsidRDefault="00D04589" w:rsidP="00D04589">
            <w:pPr>
              <w:rPr>
                <w:sz w:val="22"/>
                <w:szCs w:val="22"/>
              </w:rPr>
            </w:pPr>
          </w:p>
          <w:p w:rsidR="00D04589" w:rsidRDefault="00D04589" w:rsidP="00D04589">
            <w:pPr>
              <w:rPr>
                <w:sz w:val="22"/>
                <w:szCs w:val="22"/>
              </w:rPr>
            </w:pPr>
          </w:p>
          <w:p w:rsidR="00D04589" w:rsidRDefault="00D04589" w:rsidP="00D0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Τ.Κ.15237-Φιλοθέη-Αθήνα</w:t>
            </w:r>
          </w:p>
          <w:p w:rsidR="00D04589" w:rsidRPr="00EA62C5" w:rsidRDefault="00D04589" w:rsidP="00D0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Πληροφορίες: </w:t>
            </w:r>
            <w:proofErr w:type="spellStart"/>
            <w:r w:rsidR="00EA62C5">
              <w:rPr>
                <w:sz w:val="22"/>
                <w:szCs w:val="22"/>
              </w:rPr>
              <w:t>Θεοδωρίτση</w:t>
            </w:r>
            <w:proofErr w:type="spellEnd"/>
            <w:r w:rsidR="00EA62C5">
              <w:rPr>
                <w:sz w:val="22"/>
                <w:szCs w:val="22"/>
              </w:rPr>
              <w:t xml:space="preserve"> </w:t>
            </w:r>
            <w:proofErr w:type="spellStart"/>
            <w:r w:rsidR="00EA62C5">
              <w:rPr>
                <w:sz w:val="22"/>
                <w:szCs w:val="22"/>
              </w:rPr>
              <w:t>Δημητρία</w:t>
            </w:r>
            <w:proofErr w:type="spellEnd"/>
          </w:p>
          <w:p w:rsidR="00D04589" w:rsidRPr="00C21974" w:rsidRDefault="00D04589" w:rsidP="00D04589">
            <w:pPr>
              <w:rPr>
                <w:bCs/>
                <w:sz w:val="22"/>
                <w:szCs w:val="22"/>
                <w:lang w:val="fr-CH"/>
              </w:rPr>
            </w:pPr>
            <w:proofErr w:type="spellStart"/>
            <w:r>
              <w:rPr>
                <w:bCs/>
                <w:sz w:val="22"/>
                <w:szCs w:val="22"/>
              </w:rPr>
              <w:t>Τηλ</w:t>
            </w:r>
            <w:proofErr w:type="spellEnd"/>
            <w:r w:rsidRPr="00C21974">
              <w:rPr>
                <w:bCs/>
                <w:sz w:val="22"/>
                <w:szCs w:val="22"/>
                <w:lang w:val="fr-CH"/>
              </w:rPr>
              <w:t xml:space="preserve">.: </w:t>
            </w:r>
            <w:r>
              <w:rPr>
                <w:bCs/>
                <w:sz w:val="22"/>
                <w:szCs w:val="22"/>
              </w:rPr>
              <w:sym w:font="Wingdings" w:char="0028"/>
            </w:r>
            <w:r w:rsidRPr="00C21974">
              <w:rPr>
                <w:bCs/>
                <w:sz w:val="22"/>
                <w:szCs w:val="22"/>
                <w:lang w:val="fr-CH"/>
              </w:rPr>
              <w:t xml:space="preserve">   210-6892177</w:t>
            </w:r>
          </w:p>
          <w:p w:rsidR="00D04589" w:rsidRPr="004D2B1D" w:rsidRDefault="00D04589" w:rsidP="00D04589">
            <w:pPr>
              <w:pStyle w:val="6"/>
              <w:jc w:val="both"/>
              <w:rPr>
                <w:b w:val="0"/>
                <w:bCs/>
                <w:szCs w:val="22"/>
                <w:lang w:val="fr-FR"/>
              </w:rPr>
            </w:pPr>
            <w:r>
              <w:rPr>
                <w:b w:val="0"/>
                <w:szCs w:val="22"/>
                <w:lang w:val="fr-FR"/>
              </w:rPr>
              <w:t>FAX</w:t>
            </w:r>
            <w:r w:rsidRPr="004D2B1D">
              <w:rPr>
                <w:b w:val="0"/>
                <w:szCs w:val="22"/>
                <w:lang w:val="fr-FR"/>
              </w:rPr>
              <w:t>:       210-</w:t>
            </w:r>
            <w:r w:rsidRPr="004D2B1D">
              <w:rPr>
                <w:b w:val="0"/>
                <w:bCs/>
                <w:szCs w:val="22"/>
                <w:lang w:val="fr-FR"/>
              </w:rPr>
              <w:t>6892477</w:t>
            </w:r>
          </w:p>
          <w:p w:rsidR="00D04589" w:rsidRDefault="00D04589" w:rsidP="00D04589">
            <w:pPr>
              <w:pStyle w:val="6"/>
              <w:rPr>
                <w:lang w:val="de-DE"/>
              </w:rPr>
            </w:pPr>
            <w:r>
              <w:rPr>
                <w:b w:val="0"/>
                <w:lang w:val="de-DE"/>
              </w:rPr>
              <w:t>e-mail :</w:t>
            </w:r>
            <w:r>
              <w:rPr>
                <w:szCs w:val="22"/>
                <w:lang w:val="de-DE"/>
              </w:rPr>
              <w:t>2pek@otenet.gr</w:t>
            </w:r>
          </w:p>
          <w:p w:rsidR="00D04589" w:rsidRPr="00496CDF" w:rsidRDefault="00D04589" w:rsidP="00D04589">
            <w:pPr>
              <w:pStyle w:val="6"/>
              <w:rPr>
                <w:lang w:val="de-DE"/>
              </w:rPr>
            </w:pPr>
            <w:r>
              <w:rPr>
                <w:b w:val="0"/>
              </w:rPr>
              <w:t>Ιστοσελίδα</w:t>
            </w:r>
            <w:r>
              <w:rPr>
                <w:lang w:val="de-DE"/>
              </w:rPr>
              <w:t xml:space="preserve"> : www.</w:t>
            </w:r>
            <w:r>
              <w:rPr>
                <w:szCs w:val="22"/>
                <w:lang w:val="de-DE"/>
              </w:rPr>
              <w:t>2pek.gr</w:t>
            </w:r>
            <w:r>
              <w:rPr>
                <w:b w:val="0"/>
                <w:lang w:val="de-DE"/>
              </w:rPr>
              <w:tab/>
            </w:r>
          </w:p>
        </w:tc>
        <w:tc>
          <w:tcPr>
            <w:tcW w:w="894" w:type="dxa"/>
            <w:shd w:val="clear" w:color="auto" w:fill="auto"/>
          </w:tcPr>
          <w:p w:rsidR="00D04589" w:rsidRDefault="00D04589" w:rsidP="00D04589">
            <w:pPr>
              <w:ind w:left="18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942" w:type="dxa"/>
            <w:shd w:val="clear" w:color="auto" w:fill="auto"/>
          </w:tcPr>
          <w:p w:rsidR="00D04589" w:rsidRPr="00377987" w:rsidRDefault="00D04589" w:rsidP="00D04589">
            <w:pPr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Φιλοθέη</w:t>
            </w:r>
            <w:r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  <w:lang w:val="en-US"/>
              </w:rPr>
              <w:t>-201</w:t>
            </w:r>
            <w:r>
              <w:rPr>
                <w:b/>
                <w:sz w:val="22"/>
                <w:szCs w:val="22"/>
              </w:rPr>
              <w:t>8</w:t>
            </w:r>
          </w:p>
          <w:p w:rsidR="00D04589" w:rsidRPr="00532BB3" w:rsidRDefault="00D04589" w:rsidP="00D04589">
            <w:pPr>
              <w:ind w:left="1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Αριθ. Πρωτ. :</w:t>
            </w:r>
            <w:r w:rsidR="00F71C87">
              <w:rPr>
                <w:b/>
                <w:sz w:val="22"/>
                <w:szCs w:val="22"/>
              </w:rPr>
              <w:t xml:space="preserve"> 52</w:t>
            </w:r>
          </w:p>
          <w:p w:rsidR="00D04589" w:rsidRDefault="00D04589" w:rsidP="00D04589">
            <w:pPr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589" w:rsidRPr="003B343D" w:rsidTr="00D04589">
        <w:trPr>
          <w:cantSplit/>
          <w:trHeight w:val="541"/>
        </w:trPr>
        <w:tc>
          <w:tcPr>
            <w:tcW w:w="4329" w:type="dxa"/>
            <w:vMerge/>
            <w:shd w:val="clear" w:color="auto" w:fill="auto"/>
            <w:vAlign w:val="center"/>
          </w:tcPr>
          <w:p w:rsidR="00D04589" w:rsidRDefault="00D04589" w:rsidP="00D04589">
            <w:pPr>
              <w:rPr>
                <w:sz w:val="22"/>
                <w:lang w:val="de-DE"/>
              </w:rPr>
            </w:pPr>
          </w:p>
        </w:tc>
        <w:tc>
          <w:tcPr>
            <w:tcW w:w="894" w:type="dxa"/>
            <w:shd w:val="clear" w:color="auto" w:fill="auto"/>
          </w:tcPr>
          <w:p w:rsidR="00D04589" w:rsidRDefault="00D04589" w:rsidP="00D04589">
            <w:pPr>
              <w:rPr>
                <w:sz w:val="18"/>
                <w:szCs w:val="18"/>
              </w:rPr>
            </w:pPr>
          </w:p>
        </w:tc>
        <w:tc>
          <w:tcPr>
            <w:tcW w:w="5942" w:type="dxa"/>
            <w:shd w:val="clear" w:color="auto" w:fill="auto"/>
          </w:tcPr>
          <w:p w:rsidR="00D04589" w:rsidRPr="003B343D" w:rsidRDefault="00D04589" w:rsidP="00D04589">
            <w:pPr>
              <w:rPr>
                <w:b/>
                <w:sz w:val="20"/>
                <w:szCs w:val="20"/>
              </w:rPr>
            </w:pPr>
          </w:p>
          <w:tbl>
            <w:tblPr>
              <w:tblW w:w="878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86"/>
            </w:tblGrid>
            <w:tr w:rsidR="00D04589" w:rsidRPr="003B343D" w:rsidTr="00C73FE9">
              <w:trPr>
                <w:trHeight w:val="616"/>
              </w:trPr>
              <w:tc>
                <w:tcPr>
                  <w:tcW w:w="8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4589" w:rsidRPr="003B343D" w:rsidRDefault="00D04589" w:rsidP="00D04589">
                  <w:pPr>
                    <w:framePr w:hSpace="180" w:wrap="around" w:vAnchor="text" w:hAnchor="margin" w:y="174"/>
                    <w:rPr>
                      <w:b/>
                      <w:sz w:val="20"/>
                      <w:szCs w:val="20"/>
                    </w:rPr>
                  </w:pPr>
                </w:p>
                <w:p w:rsidR="00D04589" w:rsidRPr="003B343D" w:rsidRDefault="00D04589" w:rsidP="00D045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 w:rsidRPr="003B343D">
                    <w:rPr>
                      <w:b/>
                      <w:sz w:val="20"/>
                      <w:szCs w:val="20"/>
                    </w:rPr>
                    <w:t>Προς: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3B343D">
                    <w:rPr>
                      <w:b/>
                      <w:sz w:val="20"/>
                      <w:szCs w:val="20"/>
                    </w:rPr>
                    <w:t>1.</w:t>
                  </w:r>
                  <w:r w:rsidRPr="003B343D">
                    <w:rPr>
                      <w:sz w:val="20"/>
                      <w:szCs w:val="20"/>
                    </w:rPr>
                    <w:t>Διευθύνσεις  Π.Ε.</w:t>
                  </w:r>
                </w:p>
                <w:p w:rsidR="00D04589" w:rsidRPr="003B343D" w:rsidRDefault="00D04589" w:rsidP="00D045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 w:rsidRPr="003B343D"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3B343D">
                    <w:rPr>
                      <w:sz w:val="20"/>
                      <w:szCs w:val="20"/>
                    </w:rPr>
                    <w:t xml:space="preserve">Β Αθήνας και Ανατ. Αττικής       </w:t>
                  </w:r>
                </w:p>
                <w:p w:rsidR="00D04589" w:rsidRPr="003B343D" w:rsidRDefault="00D04589" w:rsidP="00D04589">
                  <w:pPr>
                    <w:framePr w:hSpace="180" w:wrap="around" w:vAnchor="text" w:hAnchor="margin" w:y="174"/>
                    <w:rPr>
                      <w:b/>
                      <w:sz w:val="20"/>
                      <w:szCs w:val="20"/>
                    </w:rPr>
                  </w:pPr>
                  <w:r w:rsidRPr="003B343D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3B343D">
                    <w:rPr>
                      <w:b/>
                      <w:sz w:val="20"/>
                      <w:szCs w:val="20"/>
                    </w:rPr>
                    <w:t>2.</w:t>
                  </w:r>
                  <w:r w:rsidRPr="003B343D">
                    <w:rPr>
                      <w:sz w:val="20"/>
                      <w:szCs w:val="20"/>
                    </w:rPr>
                    <w:t>Σχολικές μονάδες Π.Ε.</w:t>
                  </w:r>
                </w:p>
                <w:p w:rsidR="00D04589" w:rsidRPr="003B343D" w:rsidRDefault="00D04589" w:rsidP="00D045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 w:rsidRPr="003B343D"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343D">
                    <w:rPr>
                      <w:sz w:val="20"/>
                      <w:szCs w:val="20"/>
                    </w:rPr>
                    <w:t xml:space="preserve"> Β Αθήνας και Αν.Αττικής</w:t>
                  </w:r>
                </w:p>
                <w:p w:rsidR="00D04589" w:rsidRPr="003B343D" w:rsidRDefault="00D04589" w:rsidP="00D045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 w:rsidRPr="003B343D">
                    <w:rPr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343D">
                    <w:rPr>
                      <w:sz w:val="20"/>
                      <w:szCs w:val="20"/>
                    </w:rPr>
                    <w:t>(δια των Δνσεων</w:t>
                  </w:r>
                </w:p>
                <w:p w:rsidR="00D04589" w:rsidRPr="003B343D" w:rsidRDefault="00D04589" w:rsidP="00D045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 w:rsidRPr="003B343D">
                    <w:rPr>
                      <w:sz w:val="20"/>
                      <w:szCs w:val="20"/>
                    </w:rPr>
                    <w:t xml:space="preserve">             Εκπαίδευσης Π.Ε.</w:t>
                  </w:r>
                </w:p>
                <w:p w:rsidR="00D04589" w:rsidRPr="003B343D" w:rsidRDefault="00D04589" w:rsidP="00D045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 w:rsidRPr="003B343D">
                    <w:rPr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343D">
                    <w:rPr>
                      <w:sz w:val="20"/>
                      <w:szCs w:val="20"/>
                    </w:rPr>
                    <w:t>Β Αθήνας και Αν.Αττικής)</w:t>
                  </w:r>
                </w:p>
                <w:p w:rsidR="00D04589" w:rsidRPr="003B343D" w:rsidRDefault="00D04589" w:rsidP="00D04589">
                  <w:pPr>
                    <w:framePr w:hSpace="180" w:wrap="around" w:vAnchor="text" w:hAnchor="margin" w:y="174"/>
                    <w:ind w:left="785" w:hanging="720"/>
                    <w:rPr>
                      <w:sz w:val="20"/>
                      <w:szCs w:val="20"/>
                    </w:rPr>
                  </w:pPr>
                  <w:r w:rsidRPr="003B343D">
                    <w:rPr>
                      <w:b/>
                      <w:sz w:val="20"/>
                      <w:szCs w:val="20"/>
                    </w:rPr>
                    <w:t>Κοιν. 1.</w:t>
                  </w:r>
                  <w:r w:rsidRPr="003B343D">
                    <w:rPr>
                      <w:sz w:val="20"/>
                      <w:szCs w:val="20"/>
                    </w:rPr>
                    <w:t>Περιφερειακή Δ/νση</w:t>
                  </w:r>
                  <w:bookmarkStart w:id="0" w:name="_GoBack"/>
                  <w:bookmarkEnd w:id="0"/>
                  <w:r w:rsidRPr="003B343D">
                    <w:rPr>
                      <w:sz w:val="20"/>
                      <w:szCs w:val="20"/>
                    </w:rPr>
                    <w:t xml:space="preserve"> Π/θμιας&amp;Δ/θμιας</w:t>
                  </w:r>
                </w:p>
                <w:p w:rsidR="00D04589" w:rsidRPr="003B343D" w:rsidRDefault="00D04589" w:rsidP="00D04589">
                  <w:pPr>
                    <w:framePr w:hSpace="180" w:wrap="around" w:vAnchor="text" w:hAnchor="margin" w:y="174"/>
                    <w:ind w:left="785" w:hanging="720"/>
                    <w:rPr>
                      <w:sz w:val="20"/>
                      <w:szCs w:val="20"/>
                    </w:rPr>
                  </w:pPr>
                  <w:r w:rsidRPr="003B343D">
                    <w:rPr>
                      <w:sz w:val="20"/>
                      <w:szCs w:val="20"/>
                    </w:rPr>
                    <w:t xml:space="preserve">            ΕκπαίδευσηςΑττικής</w:t>
                  </w:r>
                </w:p>
                <w:p w:rsidR="00D04589" w:rsidRDefault="00D04589" w:rsidP="00D045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 w:rsidRPr="003B343D"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343D">
                    <w:rPr>
                      <w:b/>
                      <w:sz w:val="20"/>
                      <w:szCs w:val="20"/>
                    </w:rPr>
                    <w:t>2</w:t>
                  </w:r>
                  <w:r w:rsidRPr="003B343D">
                    <w:rPr>
                      <w:sz w:val="20"/>
                      <w:szCs w:val="20"/>
                    </w:rPr>
                    <w:t>.ΥΠ.Π.Ε.Θ. Διεύθυνση ανθρώπινου δυναμικού</w:t>
                  </w:r>
                </w:p>
                <w:p w:rsidR="00D04589" w:rsidRDefault="00D04589" w:rsidP="00D045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3B343D">
                    <w:rPr>
                      <w:sz w:val="20"/>
                      <w:szCs w:val="20"/>
                    </w:rPr>
                    <w:t xml:space="preserve">τομέων Παιδείας και Θρησκευμάτων,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D04589" w:rsidRDefault="00D04589" w:rsidP="00D045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3B343D">
                    <w:rPr>
                      <w:sz w:val="20"/>
                      <w:szCs w:val="20"/>
                    </w:rPr>
                    <w:t>Τμήμα Γ΄Ανθρώπινου δυναμικού, Βιβλιοθηκών,</w:t>
                  </w:r>
                </w:p>
                <w:p w:rsidR="00D04589" w:rsidRPr="003B343D" w:rsidRDefault="00D04589" w:rsidP="00D045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3B343D">
                    <w:rPr>
                      <w:sz w:val="20"/>
                      <w:szCs w:val="20"/>
                    </w:rPr>
                    <w:t xml:space="preserve"> ΓΑΚ και άλλων εποπτευόμενων φορέων</w:t>
                  </w:r>
                </w:p>
                <w:p w:rsidR="00D04589" w:rsidRPr="003B343D" w:rsidRDefault="00D04589" w:rsidP="00D045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</w:p>
              </w:tc>
            </w:tr>
            <w:tr w:rsidR="00D04589" w:rsidRPr="003B343D" w:rsidTr="00C73FE9">
              <w:trPr>
                <w:trHeight w:val="616"/>
              </w:trPr>
              <w:tc>
                <w:tcPr>
                  <w:tcW w:w="8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4589" w:rsidRPr="003B343D" w:rsidRDefault="00D04589" w:rsidP="00D04589">
                  <w:pPr>
                    <w:framePr w:hSpace="180" w:wrap="around" w:vAnchor="text" w:hAnchor="margin" w:y="174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04589" w:rsidRPr="003B343D" w:rsidRDefault="00D04589" w:rsidP="00D04589">
            <w:pPr>
              <w:rPr>
                <w:b/>
                <w:sz w:val="20"/>
                <w:szCs w:val="20"/>
              </w:rPr>
            </w:pPr>
          </w:p>
        </w:tc>
      </w:tr>
      <w:tr w:rsidR="00D04589" w:rsidTr="00D04589">
        <w:trPr>
          <w:cantSplit/>
          <w:trHeight w:val="30"/>
        </w:trPr>
        <w:tc>
          <w:tcPr>
            <w:tcW w:w="4329" w:type="dxa"/>
            <w:vMerge/>
            <w:shd w:val="clear" w:color="auto" w:fill="auto"/>
            <w:vAlign w:val="center"/>
          </w:tcPr>
          <w:p w:rsidR="00D04589" w:rsidRPr="00332AC9" w:rsidRDefault="00D04589" w:rsidP="00D04589">
            <w:pPr>
              <w:rPr>
                <w:sz w:val="22"/>
              </w:rPr>
            </w:pPr>
          </w:p>
        </w:tc>
        <w:tc>
          <w:tcPr>
            <w:tcW w:w="894" w:type="dxa"/>
            <w:shd w:val="clear" w:color="auto" w:fill="auto"/>
          </w:tcPr>
          <w:p w:rsidR="00D04589" w:rsidRPr="00796C73" w:rsidRDefault="00D04589" w:rsidP="00D04589">
            <w:pPr>
              <w:ind w:left="72"/>
              <w:jc w:val="both"/>
              <w:rPr>
                <w:b/>
              </w:rPr>
            </w:pPr>
          </w:p>
        </w:tc>
        <w:tc>
          <w:tcPr>
            <w:tcW w:w="5942" w:type="dxa"/>
            <w:shd w:val="clear" w:color="auto" w:fill="auto"/>
          </w:tcPr>
          <w:p w:rsidR="00D04589" w:rsidRPr="00425880" w:rsidRDefault="00D04589" w:rsidP="00D0458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15D33" w:rsidRDefault="00B15D33" w:rsidP="00D56A6B">
      <w:pPr>
        <w:ind w:right="-292"/>
        <w:rPr>
          <w:lang w:val="en-US"/>
        </w:rPr>
      </w:pPr>
    </w:p>
    <w:p w:rsidR="006B56D3" w:rsidRPr="006B56D3" w:rsidRDefault="006B56D3" w:rsidP="004A37FF">
      <w:pPr>
        <w:jc w:val="both"/>
        <w:rPr>
          <w:bCs/>
          <w:sz w:val="28"/>
          <w:szCs w:val="28"/>
        </w:rPr>
      </w:pPr>
      <w:r w:rsidRPr="00964515">
        <w:rPr>
          <w:b/>
          <w:bCs/>
          <w:sz w:val="28"/>
          <w:szCs w:val="28"/>
        </w:rPr>
        <w:t>ΘΕΜΑ</w:t>
      </w:r>
      <w:r w:rsidR="0040299E">
        <w:rPr>
          <w:bCs/>
          <w:sz w:val="28"/>
          <w:szCs w:val="28"/>
        </w:rPr>
        <w:t xml:space="preserve">: </w:t>
      </w:r>
      <w:r w:rsidR="0040299E" w:rsidRPr="00472074">
        <w:rPr>
          <w:b/>
          <w:bCs/>
        </w:rPr>
        <w:t>«Πρ</w:t>
      </w:r>
      <w:r w:rsidR="0040299E" w:rsidRPr="00472074">
        <w:rPr>
          <w:b/>
          <w:bCs/>
          <w:lang w:val="en-US"/>
        </w:rPr>
        <w:t>o</w:t>
      </w:r>
      <w:r w:rsidR="0040299E" w:rsidRPr="00472074">
        <w:rPr>
          <w:b/>
          <w:bCs/>
        </w:rPr>
        <w:t>αιρ</w:t>
      </w:r>
      <w:r w:rsidR="00E0075B" w:rsidRPr="00472074">
        <w:rPr>
          <w:b/>
          <w:bCs/>
        </w:rPr>
        <w:t>ετική επιμόρφωση εκπαιδευτικών Πρωτοβάθμιας Ε</w:t>
      </w:r>
      <w:r w:rsidR="0040299E" w:rsidRPr="00472074">
        <w:rPr>
          <w:b/>
          <w:bCs/>
        </w:rPr>
        <w:t>κπαίδευσης</w:t>
      </w:r>
      <w:r w:rsidRPr="00472074">
        <w:rPr>
          <w:b/>
          <w:bCs/>
          <w:sz w:val="28"/>
          <w:szCs w:val="28"/>
        </w:rPr>
        <w:t>»</w:t>
      </w:r>
    </w:p>
    <w:p w:rsidR="006B56D3" w:rsidRPr="00827785" w:rsidRDefault="006B56D3" w:rsidP="004A37FF">
      <w:pPr>
        <w:jc w:val="both"/>
        <w:rPr>
          <w:bCs/>
        </w:rPr>
      </w:pPr>
    </w:p>
    <w:p w:rsidR="0040299E" w:rsidRDefault="006B56D3" w:rsidP="00BB6C31">
      <w:pPr>
        <w:rPr>
          <w:bCs/>
        </w:rPr>
      </w:pPr>
      <w:r w:rsidRPr="00827785">
        <w:rPr>
          <w:bCs/>
        </w:rPr>
        <w:t xml:space="preserve">Το </w:t>
      </w:r>
      <w:r w:rsidR="0040299E" w:rsidRPr="00827785">
        <w:rPr>
          <w:bCs/>
        </w:rPr>
        <w:t>2</w:t>
      </w:r>
      <w:r w:rsidR="0040299E" w:rsidRPr="006608C4">
        <w:rPr>
          <w:bCs/>
          <w:vertAlign w:val="superscript"/>
        </w:rPr>
        <w:t>ο</w:t>
      </w:r>
      <w:r w:rsidR="00C21974" w:rsidRPr="00C21974">
        <w:rPr>
          <w:bCs/>
        </w:rPr>
        <w:t xml:space="preserve"> </w:t>
      </w:r>
      <w:proofErr w:type="spellStart"/>
      <w:r w:rsidRPr="00827785">
        <w:rPr>
          <w:bCs/>
        </w:rPr>
        <w:t>Π.Ε.Κ.</w:t>
      </w:r>
      <w:r w:rsidR="00F16393" w:rsidRPr="00827785">
        <w:rPr>
          <w:bCs/>
        </w:rPr>
        <w:t>Αθήνας</w:t>
      </w:r>
      <w:proofErr w:type="spellEnd"/>
      <w:r w:rsidRPr="00827785">
        <w:rPr>
          <w:bCs/>
        </w:rPr>
        <w:t xml:space="preserve">, </w:t>
      </w:r>
      <w:r w:rsidR="0040299E" w:rsidRPr="00827785">
        <w:rPr>
          <w:bCs/>
        </w:rPr>
        <w:t>θα πραγματοποιήσει προαιρετική επιμόρφωση για τους εκπαιδευτικούς της Π</w:t>
      </w:r>
      <w:r w:rsidR="006608C4">
        <w:rPr>
          <w:bCs/>
        </w:rPr>
        <w:t xml:space="preserve">ρωτοβάθμιας </w:t>
      </w:r>
      <w:r w:rsidR="0040299E" w:rsidRPr="00827785">
        <w:rPr>
          <w:bCs/>
        </w:rPr>
        <w:t>Ε</w:t>
      </w:r>
      <w:r w:rsidR="006608C4">
        <w:rPr>
          <w:bCs/>
        </w:rPr>
        <w:t xml:space="preserve">κπαίδευσης </w:t>
      </w:r>
      <w:r w:rsidR="00472074">
        <w:rPr>
          <w:bCs/>
        </w:rPr>
        <w:t>της Περιφέρειας Δράσης του.</w:t>
      </w:r>
    </w:p>
    <w:p w:rsidR="003B3147" w:rsidRPr="003B3147" w:rsidRDefault="003B3147" w:rsidP="00BB6C31">
      <w:pPr>
        <w:rPr>
          <w:b/>
          <w:bCs/>
        </w:rPr>
      </w:pPr>
      <w:r w:rsidRPr="00827785">
        <w:rPr>
          <w:bCs/>
        </w:rPr>
        <w:t>Οι εκπαιδευτικοί που επιθυμούν να συμμετέχουν</w:t>
      </w:r>
      <w:r>
        <w:rPr>
          <w:bCs/>
        </w:rPr>
        <w:t>,</w:t>
      </w:r>
      <w:r w:rsidRPr="00827785">
        <w:rPr>
          <w:bCs/>
        </w:rPr>
        <w:t xml:space="preserve"> θα υποβάλουν ηλεκ</w:t>
      </w:r>
      <w:r>
        <w:rPr>
          <w:bCs/>
        </w:rPr>
        <w:t>τρονικά (</w:t>
      </w:r>
      <w:r>
        <w:rPr>
          <w:lang w:val="de-DE"/>
        </w:rPr>
        <w:t xml:space="preserve">e-mail :    </w:t>
      </w:r>
      <w:r>
        <w:rPr>
          <w:szCs w:val="22"/>
          <w:lang w:val="de-DE"/>
        </w:rPr>
        <w:t>2pek@otenet.gr</w:t>
      </w:r>
      <w:r>
        <w:rPr>
          <w:szCs w:val="22"/>
        </w:rPr>
        <w:t>),</w:t>
      </w:r>
      <w:r>
        <w:rPr>
          <w:bCs/>
        </w:rPr>
        <w:t xml:space="preserve"> συμπληρωμένη την αίτηση συμμετοχής που</w:t>
      </w:r>
      <w:r w:rsidR="006608C4">
        <w:rPr>
          <w:bCs/>
        </w:rPr>
        <w:t xml:space="preserve"> </w:t>
      </w:r>
      <w:r>
        <w:rPr>
          <w:bCs/>
        </w:rPr>
        <w:t xml:space="preserve">ακολουθεί, από </w:t>
      </w:r>
      <w:r w:rsidR="00F759B6">
        <w:rPr>
          <w:b/>
          <w:bCs/>
          <w:i/>
        </w:rPr>
        <w:t>12</w:t>
      </w:r>
      <w:r w:rsidR="00FE5C2F">
        <w:rPr>
          <w:b/>
          <w:bCs/>
          <w:i/>
        </w:rPr>
        <w:t xml:space="preserve"> Φεβρ</w:t>
      </w:r>
      <w:r w:rsidRPr="003B3147">
        <w:rPr>
          <w:b/>
          <w:bCs/>
          <w:i/>
        </w:rPr>
        <w:t>ουαρίου 201</w:t>
      </w:r>
      <w:r w:rsidR="00FE5C2F">
        <w:rPr>
          <w:b/>
          <w:bCs/>
          <w:i/>
        </w:rPr>
        <w:t>8</w:t>
      </w:r>
      <w:r w:rsidRPr="003B3147">
        <w:rPr>
          <w:b/>
          <w:bCs/>
        </w:rPr>
        <w:t xml:space="preserve"> έως </w:t>
      </w:r>
      <w:r w:rsidR="00563007">
        <w:rPr>
          <w:b/>
          <w:bCs/>
          <w:i/>
        </w:rPr>
        <w:t>22</w:t>
      </w:r>
      <w:r w:rsidRPr="003B3147">
        <w:rPr>
          <w:b/>
          <w:bCs/>
          <w:i/>
        </w:rPr>
        <w:t>Φεβρουαρίου 201</w:t>
      </w:r>
      <w:r w:rsidR="00FE5C2F">
        <w:rPr>
          <w:b/>
          <w:bCs/>
          <w:i/>
        </w:rPr>
        <w:t>8</w:t>
      </w:r>
      <w:r w:rsidRPr="003B3147">
        <w:rPr>
          <w:b/>
          <w:bCs/>
        </w:rPr>
        <w:t>.</w:t>
      </w:r>
    </w:p>
    <w:p w:rsidR="0040299E" w:rsidRPr="00827785" w:rsidRDefault="006608C4" w:rsidP="00BB6C31">
      <w:pPr>
        <w:rPr>
          <w:bCs/>
        </w:rPr>
      </w:pPr>
      <w:r>
        <w:rPr>
          <w:bCs/>
        </w:rPr>
        <w:t xml:space="preserve">Η επιμόρφωση θα υλοποιηθεί </w:t>
      </w:r>
      <w:r w:rsidR="00B155A5">
        <w:rPr>
          <w:bCs/>
        </w:rPr>
        <w:t>το</w:t>
      </w:r>
      <w:r>
        <w:rPr>
          <w:bCs/>
        </w:rPr>
        <w:t xml:space="preserve"> </w:t>
      </w:r>
      <w:r w:rsidR="00FE5C2F">
        <w:rPr>
          <w:b/>
          <w:bCs/>
          <w:i/>
          <w:lang w:val="en-US"/>
        </w:rPr>
        <w:t>M</w:t>
      </w:r>
      <w:r w:rsidR="00B155A5">
        <w:rPr>
          <w:b/>
          <w:bCs/>
          <w:i/>
        </w:rPr>
        <w:t>άρ</w:t>
      </w:r>
      <w:r w:rsidR="00FE5C2F">
        <w:rPr>
          <w:b/>
          <w:bCs/>
          <w:i/>
        </w:rPr>
        <w:t>τ</w:t>
      </w:r>
      <w:r w:rsidR="00B155A5">
        <w:rPr>
          <w:b/>
          <w:bCs/>
          <w:i/>
        </w:rPr>
        <w:t>ιο</w:t>
      </w:r>
      <w:r w:rsidR="00827785" w:rsidRPr="00472074">
        <w:rPr>
          <w:b/>
          <w:bCs/>
          <w:i/>
        </w:rPr>
        <w:t xml:space="preserve"> 201</w:t>
      </w:r>
      <w:r w:rsidR="00FE5C2F">
        <w:rPr>
          <w:b/>
          <w:bCs/>
          <w:i/>
        </w:rPr>
        <w:t>8</w:t>
      </w:r>
      <w:r>
        <w:rPr>
          <w:bCs/>
        </w:rPr>
        <w:t xml:space="preserve"> και </w:t>
      </w:r>
      <w:r w:rsidR="00E0075B" w:rsidRPr="00827785">
        <w:rPr>
          <w:bCs/>
        </w:rPr>
        <w:t xml:space="preserve">θα πραγματοποιείται κάθε </w:t>
      </w:r>
      <w:r w:rsidR="00E0075B" w:rsidRPr="00472074">
        <w:rPr>
          <w:b/>
          <w:bCs/>
          <w:i/>
        </w:rPr>
        <w:t>Τετάρτη</w:t>
      </w:r>
      <w:r w:rsidR="00472074">
        <w:rPr>
          <w:bCs/>
        </w:rPr>
        <w:t xml:space="preserve"> από </w:t>
      </w:r>
      <w:r w:rsidR="00472074" w:rsidRPr="00472074">
        <w:rPr>
          <w:b/>
          <w:bCs/>
          <w:i/>
        </w:rPr>
        <w:t>17:00</w:t>
      </w:r>
      <w:r w:rsidR="00472074">
        <w:rPr>
          <w:bCs/>
        </w:rPr>
        <w:t xml:space="preserve"> έως </w:t>
      </w:r>
      <w:r w:rsidR="00B155A5">
        <w:rPr>
          <w:b/>
          <w:bCs/>
          <w:i/>
        </w:rPr>
        <w:t>20:3</w:t>
      </w:r>
      <w:r w:rsidR="00472074" w:rsidRPr="00472074">
        <w:rPr>
          <w:b/>
          <w:bCs/>
          <w:i/>
        </w:rPr>
        <w:t>0</w:t>
      </w:r>
      <w:r>
        <w:rPr>
          <w:b/>
          <w:bCs/>
          <w:i/>
        </w:rPr>
        <w:t>.</w:t>
      </w:r>
      <w:r>
        <w:rPr>
          <w:bCs/>
        </w:rPr>
        <w:t xml:space="preserve"> </w:t>
      </w:r>
      <w:r w:rsidR="00E0075B" w:rsidRPr="00827785">
        <w:rPr>
          <w:bCs/>
        </w:rPr>
        <w:t xml:space="preserve"> Η ακριβής ημερομηνία</w:t>
      </w:r>
      <w:r w:rsidR="00AA49D8">
        <w:rPr>
          <w:bCs/>
        </w:rPr>
        <w:t xml:space="preserve"> έναρξης και το πρόγραμμα θα σας γίνουν γνωστά</w:t>
      </w:r>
      <w:r w:rsidR="00E0075B" w:rsidRPr="00827785">
        <w:rPr>
          <w:bCs/>
        </w:rPr>
        <w:t xml:space="preserve"> έγκαιρα.</w:t>
      </w:r>
    </w:p>
    <w:p w:rsidR="00F24356" w:rsidRPr="005A388D" w:rsidRDefault="00FE5C2F" w:rsidP="00BB6C31">
      <w:pPr>
        <w:rPr>
          <w:b/>
        </w:rPr>
      </w:pPr>
      <w:r>
        <w:rPr>
          <w:bCs/>
        </w:rPr>
        <w:t>Το θέμα της προαιρετικής επιμόρφωσης είναι:</w:t>
      </w:r>
      <w:r w:rsidR="006608C4">
        <w:rPr>
          <w:bCs/>
        </w:rPr>
        <w:t xml:space="preserve"> </w:t>
      </w:r>
      <w:r w:rsidR="00F24356" w:rsidRPr="00F24356">
        <w:rPr>
          <w:b/>
        </w:rPr>
        <w:t>« Οι τέχνες, ως εργαλείο μάθησης και ψυχικής ισορροπίας του μαθητή</w:t>
      </w:r>
      <w:r w:rsidR="006608C4">
        <w:rPr>
          <w:b/>
        </w:rPr>
        <w:t>.</w:t>
      </w:r>
      <w:r w:rsidR="00F24356" w:rsidRPr="00F24356">
        <w:rPr>
          <w:b/>
        </w:rPr>
        <w:t>»</w:t>
      </w:r>
    </w:p>
    <w:p w:rsidR="005A388D" w:rsidRDefault="00D03A21" w:rsidP="00BB6C31">
      <w:r>
        <w:t>Σ</w:t>
      </w:r>
      <w:r w:rsidR="005A388D">
        <w:t>τόχο</w:t>
      </w:r>
      <w:r>
        <w:t>ς</w:t>
      </w:r>
      <w:r w:rsidR="005A388D">
        <w:t xml:space="preserve"> να μελετήσουμε:</w:t>
      </w:r>
    </w:p>
    <w:p w:rsidR="00551512" w:rsidRDefault="005A388D" w:rsidP="00BB6C31">
      <w:pPr>
        <w:spacing w:after="200"/>
      </w:pPr>
      <w:r>
        <w:t>Πώς ανακαλύπτουν και κατανοούν οι μαθητές τον εαυτό τους και τους άλλους, μέσ</w:t>
      </w:r>
      <w:r w:rsidR="00227CED">
        <w:t>α από την παρατήρηση της τέχνης</w:t>
      </w:r>
      <w:r>
        <w:t>,</w:t>
      </w:r>
      <w:r w:rsidR="00227CED">
        <w:t xml:space="preserve"> </w:t>
      </w:r>
      <w:r>
        <w:t>δημιουργώντας κλίμα σεβασμού και εμπιστοσύνης και αποκτώντας ενσυναίσθηση και υψηλή αυτοεκτίμηση.</w:t>
      </w:r>
      <w:r w:rsidR="006608C4">
        <w:t xml:space="preserve"> </w:t>
      </w:r>
      <w:r w:rsidR="00B72CE3">
        <w:t xml:space="preserve">                                                                                </w:t>
      </w:r>
      <w:r>
        <w:t>Πώς βελτιώνεται η μαθησιακή διαδικασία των γνωστικών αντικειμένων στο σχολείο διαμέσου των τεχνών.</w:t>
      </w:r>
      <w:r w:rsidR="00227CED">
        <w:t xml:space="preserve"> </w:t>
      </w:r>
      <w:r w:rsidR="00B72CE3">
        <w:t xml:space="preserve">                                                                                                                              </w:t>
      </w:r>
      <w:r>
        <w:t>Πώς μεταφέρεται και διαχέεται η γνώση σε άλλα θεματικά και επιστημονικά πεδία.</w:t>
      </w:r>
      <w:r w:rsidR="00B72CE3">
        <w:t xml:space="preserve">                                          </w:t>
      </w:r>
      <w:r>
        <w:t>Πώς αποκτούν οι τέχνες θεραπευτικό χαρακτήρα φέρνοντας παράλληλα την ηρεμία, τη χαρά και την ψυχαγωγία στη σχολική καθημερινότητα.</w:t>
      </w:r>
      <w:r w:rsidR="006608C4">
        <w:t xml:space="preserve"> </w:t>
      </w:r>
    </w:p>
    <w:p w:rsidR="00F24356" w:rsidRPr="007032F0" w:rsidRDefault="00AA49D8" w:rsidP="00BB6C31">
      <w:pPr>
        <w:spacing w:after="200"/>
      </w:pPr>
      <w:r>
        <w:rPr>
          <w:bCs/>
        </w:rPr>
        <w:t>Λόγω του</w:t>
      </w:r>
      <w:r w:rsidR="006608C4">
        <w:rPr>
          <w:bCs/>
        </w:rPr>
        <w:t xml:space="preserve"> βιωματικού χαρακτήρα της επιμόρφωσης, ο αριθμός </w:t>
      </w:r>
      <w:r>
        <w:rPr>
          <w:bCs/>
        </w:rPr>
        <w:t xml:space="preserve"> των συμμετεχόντων</w:t>
      </w:r>
      <w:r w:rsidR="006608C4">
        <w:rPr>
          <w:bCs/>
        </w:rPr>
        <w:t xml:space="preserve"> είναι</w:t>
      </w:r>
      <w:r w:rsidR="006608C4" w:rsidRPr="006608C4">
        <w:rPr>
          <w:bCs/>
        </w:rPr>
        <w:t xml:space="preserve"> </w:t>
      </w:r>
      <w:r w:rsidR="006608C4">
        <w:rPr>
          <w:bCs/>
        </w:rPr>
        <w:t>καθορισμένος</w:t>
      </w:r>
      <w:r w:rsidR="00227CED">
        <w:rPr>
          <w:bCs/>
        </w:rPr>
        <w:t xml:space="preserve">, </w:t>
      </w:r>
      <w:r w:rsidR="007F4351">
        <w:rPr>
          <w:bCs/>
        </w:rPr>
        <w:t>50 άτομα,</w:t>
      </w:r>
      <w:r>
        <w:rPr>
          <w:bCs/>
        </w:rPr>
        <w:t xml:space="preserve"> </w:t>
      </w:r>
      <w:r w:rsidR="006608C4">
        <w:rPr>
          <w:bCs/>
        </w:rPr>
        <w:t xml:space="preserve"> και </w:t>
      </w:r>
      <w:r>
        <w:rPr>
          <w:bCs/>
        </w:rPr>
        <w:t>θ</w:t>
      </w:r>
      <w:r w:rsidR="00472074">
        <w:rPr>
          <w:bCs/>
        </w:rPr>
        <w:t>α τη</w:t>
      </w:r>
      <w:r w:rsidR="007F4351">
        <w:rPr>
          <w:bCs/>
        </w:rPr>
        <w:t xml:space="preserve">ρηθεί </w:t>
      </w:r>
      <w:r w:rsidR="006608C4">
        <w:rPr>
          <w:bCs/>
        </w:rPr>
        <w:t xml:space="preserve"> χρονική </w:t>
      </w:r>
      <w:r w:rsidR="007F4351">
        <w:rPr>
          <w:bCs/>
        </w:rPr>
        <w:t>σειρά προτεραιότητας σύμφωνα με την κατάθεση των αιτήσεων.</w:t>
      </w:r>
    </w:p>
    <w:p w:rsidR="00E0075B" w:rsidRPr="007032F0" w:rsidRDefault="00E0075B" w:rsidP="004A37FF">
      <w:pPr>
        <w:jc w:val="both"/>
        <w:rPr>
          <w:bCs/>
        </w:rPr>
      </w:pPr>
    </w:p>
    <w:p w:rsidR="00804613" w:rsidRPr="007032F0" w:rsidRDefault="00804613" w:rsidP="00792938">
      <w:pPr>
        <w:spacing w:after="120" w:line="276" w:lineRule="auto"/>
      </w:pPr>
      <w:r>
        <w:t>Ο Υποδ/ντής του 2ου ΠΕΚ Αθήνας</w:t>
      </w:r>
      <w:r w:rsidR="00D808A7">
        <w:t xml:space="preserve">                                     </w:t>
      </w:r>
      <w:r w:rsidR="008C6242" w:rsidRPr="00827785">
        <w:t>Η Διευθύντρια</w:t>
      </w:r>
      <w:r w:rsidR="00E31F02" w:rsidRPr="00827785">
        <w:t xml:space="preserve"> του 2</w:t>
      </w:r>
      <w:r w:rsidR="00E31F02" w:rsidRPr="00827785">
        <w:rPr>
          <w:vertAlign w:val="superscript"/>
        </w:rPr>
        <w:t>ου</w:t>
      </w:r>
      <w:r w:rsidR="00D808A7">
        <w:t xml:space="preserve"> ΠΕΚ </w:t>
      </w:r>
      <w:r w:rsidR="00E31F02" w:rsidRPr="00827785">
        <w:t>Αθήνας</w:t>
      </w:r>
    </w:p>
    <w:p w:rsidR="007032F0" w:rsidRPr="007032F0" w:rsidRDefault="007032F0" w:rsidP="00792938">
      <w:pPr>
        <w:spacing w:after="120" w:line="276" w:lineRule="auto"/>
      </w:pPr>
    </w:p>
    <w:p w:rsidR="00804613" w:rsidRDefault="00804613" w:rsidP="00804613">
      <w:pPr>
        <w:tabs>
          <w:tab w:val="left" w:pos="5550"/>
        </w:tabs>
        <w:spacing w:after="120" w:line="276" w:lineRule="auto"/>
      </w:pPr>
      <w:r>
        <w:t>Μπαμπαρούτσης Χαράλαμπος</w:t>
      </w:r>
      <w:r>
        <w:tab/>
      </w:r>
      <w:r w:rsidR="00D808A7">
        <w:t xml:space="preserve">         </w:t>
      </w:r>
      <w:r w:rsidRPr="00827785">
        <w:t>Ευελπίδου Νίκη-Νικολέττα</w:t>
      </w:r>
    </w:p>
    <w:p w:rsidR="00E31F02" w:rsidRPr="00827785" w:rsidRDefault="00804613" w:rsidP="00804613">
      <w:pPr>
        <w:spacing w:after="120" w:line="276" w:lineRule="auto"/>
      </w:pPr>
      <w:r>
        <w:t xml:space="preserve">      Σχολικός Σύμβουλος</w:t>
      </w:r>
      <w:r w:rsidR="00D808A7">
        <w:t xml:space="preserve">                                                      </w:t>
      </w:r>
      <w:r w:rsidR="008C6242" w:rsidRPr="00827785">
        <w:t>Α</w:t>
      </w:r>
      <w:r w:rsidR="00E7777F" w:rsidRPr="00827785">
        <w:t xml:space="preserve">ναπληρώτρια Καθηγήτρια </w:t>
      </w:r>
      <w:r w:rsidR="008C6242" w:rsidRPr="00827785">
        <w:t xml:space="preserve"> ΕΚΠΑ</w:t>
      </w:r>
    </w:p>
    <w:p w:rsidR="0092077B" w:rsidRPr="006608C4" w:rsidRDefault="0092077B" w:rsidP="002827AB"/>
    <w:p w:rsidR="0092077B" w:rsidRDefault="0092077B" w:rsidP="00B15D33">
      <w:pPr>
        <w:jc w:val="center"/>
      </w:pPr>
    </w:p>
    <w:p w:rsidR="00252D93" w:rsidRDefault="00252D93" w:rsidP="00B15D33">
      <w:pPr>
        <w:jc w:val="center"/>
      </w:pPr>
    </w:p>
    <w:p w:rsidR="00252D93" w:rsidRDefault="00252D93" w:rsidP="00B15D33">
      <w:pPr>
        <w:jc w:val="center"/>
      </w:pPr>
    </w:p>
    <w:p w:rsidR="00252D93" w:rsidRDefault="00252D93" w:rsidP="00B15D33">
      <w:pPr>
        <w:jc w:val="center"/>
      </w:pPr>
    </w:p>
    <w:p w:rsidR="00252D93" w:rsidRDefault="00252D93" w:rsidP="00B15D33">
      <w:pPr>
        <w:jc w:val="center"/>
      </w:pPr>
    </w:p>
    <w:p w:rsidR="0092077B" w:rsidRDefault="0092077B" w:rsidP="00B15D33">
      <w:pPr>
        <w:jc w:val="center"/>
      </w:pPr>
    </w:p>
    <w:p w:rsidR="0092077B" w:rsidRPr="00E23496" w:rsidRDefault="00D808A7" w:rsidP="0092077B">
      <w:pPr>
        <w:jc w:val="center"/>
        <w:rPr>
          <w:b/>
        </w:rPr>
      </w:pPr>
      <w:r>
        <w:rPr>
          <w:b/>
        </w:rPr>
        <w:t xml:space="preserve">        </w:t>
      </w:r>
      <w:r w:rsidR="0092077B" w:rsidRPr="00E23496">
        <w:rPr>
          <w:b/>
        </w:rPr>
        <w:t>ΔΗΛΩΣΗ ΣΥΜΜΕΤΟΧΗΣ</w:t>
      </w:r>
    </w:p>
    <w:p w:rsidR="0092077B" w:rsidRDefault="0092077B" w:rsidP="0092077B">
      <w:pPr>
        <w:jc w:val="center"/>
      </w:pPr>
      <w:r w:rsidRPr="00E23496">
        <w:t>Στην προαιρετική επιμόρφωση των εκπαιδευτικών Π</w:t>
      </w:r>
      <w:r w:rsidR="00D808A7">
        <w:t xml:space="preserve">ρωταβάθμιας </w:t>
      </w:r>
      <w:r w:rsidRPr="00E23496">
        <w:t>Ε</w:t>
      </w:r>
      <w:r w:rsidR="00D808A7">
        <w:t>κπαίδευσης</w:t>
      </w:r>
      <w:r w:rsidRPr="00E23496">
        <w:t xml:space="preserve">  του 2</w:t>
      </w:r>
      <w:r w:rsidRPr="00E23496">
        <w:rPr>
          <w:vertAlign w:val="superscript"/>
        </w:rPr>
        <w:t>ου</w:t>
      </w:r>
      <w:r w:rsidRPr="00E23496">
        <w:t xml:space="preserve"> ΠΕΚ</w:t>
      </w:r>
    </w:p>
    <w:p w:rsidR="00D808A7" w:rsidRPr="00D808A7" w:rsidRDefault="00D808A7" w:rsidP="0092077B">
      <w:pPr>
        <w:jc w:val="center"/>
        <w:rPr>
          <w:b/>
        </w:rPr>
      </w:pPr>
      <w:r w:rsidRPr="00D808A7">
        <w:rPr>
          <w:b/>
        </w:rPr>
        <w:t>Μάρτιος 2018</w:t>
      </w:r>
    </w:p>
    <w:p w:rsidR="0092077B" w:rsidRPr="00D808A7" w:rsidRDefault="0092077B" w:rsidP="0092077B">
      <w:pPr>
        <w:rPr>
          <w:b/>
          <w:sz w:val="28"/>
          <w:szCs w:val="28"/>
        </w:rPr>
      </w:pP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 xml:space="preserve">ΕΠΩΝΥΜΟ : 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ΟΝΟΜΑ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ΠΑΤΡΩΝΥΜΟ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ΕΙΔΙΚΟΤΗΤΑ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ΣΧΟΛΕΙΟ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ΤΑΞΗ :</w:t>
      </w:r>
    </w:p>
    <w:p w:rsidR="0092077B" w:rsidRPr="00E23496" w:rsidRDefault="0092077B" w:rsidP="0092077B">
      <w:pPr>
        <w:spacing w:line="240" w:lineRule="exact"/>
        <w:rPr>
          <w:sz w:val="28"/>
          <w:szCs w:val="28"/>
        </w:rPr>
      </w:pPr>
      <w:r w:rsidRPr="00E23496">
        <w:rPr>
          <w:sz w:val="28"/>
          <w:szCs w:val="28"/>
        </w:rPr>
        <w:t>ΣΧΕΣΗ ΕΡΓΑΣΙΑΣ :</w:t>
      </w:r>
    </w:p>
    <w:p w:rsidR="0092077B" w:rsidRPr="003E530F" w:rsidRDefault="0092077B" w:rsidP="0092077B">
      <w:pPr>
        <w:spacing w:line="240" w:lineRule="exact"/>
        <w:rPr>
          <w:b/>
          <w:sz w:val="18"/>
          <w:szCs w:val="18"/>
        </w:rPr>
      </w:pPr>
      <w:r w:rsidRPr="00E23496">
        <w:rPr>
          <w:b/>
          <w:sz w:val="18"/>
          <w:szCs w:val="18"/>
        </w:rPr>
        <w:t>(ΜΟΝ/ΑΝΑΠΛ/ΩΡΟΜ)</w:t>
      </w:r>
    </w:p>
    <w:p w:rsidR="0092077B" w:rsidRPr="003E530F" w:rsidRDefault="0092077B" w:rsidP="0092077B">
      <w:pPr>
        <w:spacing w:line="240" w:lineRule="exact"/>
        <w:rPr>
          <w:sz w:val="28"/>
          <w:szCs w:val="28"/>
        </w:rPr>
      </w:pPr>
    </w:p>
    <w:p w:rsidR="0092077B" w:rsidRPr="00E23496" w:rsidRDefault="0092077B" w:rsidP="0092077B">
      <w:pPr>
        <w:spacing w:line="360" w:lineRule="auto"/>
        <w:rPr>
          <w:sz w:val="28"/>
          <w:szCs w:val="28"/>
        </w:rPr>
      </w:pPr>
      <w:r w:rsidRPr="00E23496">
        <w:rPr>
          <w:sz w:val="28"/>
          <w:szCs w:val="28"/>
        </w:rPr>
        <w:t>ΤΗΛΕΦΩΝΟ :</w:t>
      </w:r>
    </w:p>
    <w:p w:rsidR="0092077B" w:rsidRPr="00E23496" w:rsidRDefault="0092077B" w:rsidP="0092077B">
      <w:pPr>
        <w:spacing w:line="360" w:lineRule="auto"/>
        <w:rPr>
          <w:sz w:val="28"/>
          <w:szCs w:val="28"/>
        </w:rPr>
      </w:pPr>
      <w:r w:rsidRPr="00E23496">
        <w:rPr>
          <w:sz w:val="28"/>
          <w:szCs w:val="28"/>
        </w:rPr>
        <w:t>ΗΛ/ΚΗ  ΔΙΕΥΘΥΝΣΗ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ΗΜΕΡΟΜΗΝΙΑ :</w:t>
      </w:r>
    </w:p>
    <w:p w:rsidR="0092077B" w:rsidRPr="00E23496" w:rsidRDefault="0092077B" w:rsidP="0092077B"/>
    <w:p w:rsidR="0092077B" w:rsidRDefault="0092077B" w:rsidP="0092077B">
      <w:r>
        <w:tab/>
      </w:r>
      <w:r>
        <w:tab/>
      </w:r>
      <w:r>
        <w:tab/>
      </w:r>
      <w:r>
        <w:tab/>
      </w:r>
    </w:p>
    <w:p w:rsidR="0092077B" w:rsidRPr="00E23496" w:rsidRDefault="0092077B" w:rsidP="0092077B">
      <w:pPr>
        <w:rPr>
          <w:i/>
        </w:rPr>
      </w:pPr>
      <w:r w:rsidRPr="00E23496">
        <w:rPr>
          <w:i/>
        </w:rPr>
        <w:t>Δηλώνω ότι επιθυμώ να συμμετάσχω στην προαιρετική</w:t>
      </w:r>
      <w:r w:rsidR="00D808A7">
        <w:rPr>
          <w:i/>
        </w:rPr>
        <w:t xml:space="preserve"> επιμόρφωση  των εκπαιδευτικών Πρωτοβάθμιας </w:t>
      </w:r>
      <w:r w:rsidRPr="00E23496">
        <w:rPr>
          <w:i/>
        </w:rPr>
        <w:t>Ε</w:t>
      </w:r>
      <w:r w:rsidR="00D808A7">
        <w:rPr>
          <w:i/>
        </w:rPr>
        <w:t>κπαίδευσης</w:t>
      </w:r>
      <w:r w:rsidRPr="00E23496">
        <w:rPr>
          <w:i/>
        </w:rPr>
        <w:t xml:space="preserve">  του 2</w:t>
      </w:r>
      <w:r w:rsidRPr="00E23496">
        <w:rPr>
          <w:i/>
          <w:vertAlign w:val="superscript"/>
        </w:rPr>
        <w:t>ου</w:t>
      </w:r>
      <w:r w:rsidRPr="00E23496">
        <w:rPr>
          <w:i/>
        </w:rPr>
        <w:t xml:space="preserve"> ΠΕΚ.</w:t>
      </w:r>
    </w:p>
    <w:p w:rsidR="0092077B" w:rsidRPr="003E530F" w:rsidRDefault="0092077B" w:rsidP="0092077B"/>
    <w:p w:rsidR="0092077B" w:rsidRDefault="0092077B" w:rsidP="0092077B"/>
    <w:p w:rsidR="0092077B" w:rsidRPr="00E23496" w:rsidRDefault="0092077B" w:rsidP="0092077B">
      <w:pPr>
        <w:rPr>
          <w:b/>
          <w:i/>
        </w:rPr>
      </w:pPr>
      <w:r w:rsidRPr="00E23496">
        <w:rPr>
          <w:b/>
          <w:i/>
        </w:rPr>
        <w:t xml:space="preserve">                                                                                                        Ο Δηλών/ Η Δηλούσα</w:t>
      </w:r>
    </w:p>
    <w:p w:rsidR="0092077B" w:rsidRDefault="0092077B" w:rsidP="0092077B">
      <w:pPr>
        <w:rPr>
          <w:lang w:val="en-US"/>
        </w:rPr>
      </w:pPr>
    </w:p>
    <w:p w:rsidR="0092077B" w:rsidRPr="00E23496" w:rsidRDefault="0092077B" w:rsidP="0092077B">
      <w:pPr>
        <w:rPr>
          <w:lang w:val="en-US"/>
        </w:rPr>
      </w:pPr>
    </w:p>
    <w:p w:rsidR="0092077B" w:rsidRDefault="0092077B" w:rsidP="0092077B">
      <w:r>
        <w:t xml:space="preserve">                                                                                                               ΥΠΟΓΡΑΦΗ</w:t>
      </w:r>
    </w:p>
    <w:p w:rsidR="0092077B" w:rsidRPr="000E466E" w:rsidRDefault="0092077B" w:rsidP="0092077B">
      <w:r>
        <w:t xml:space="preserve">                                                                                                       ΟΝΟΜΑΤΕΠΩ</w:t>
      </w:r>
      <w:r w:rsidR="00227CED">
        <w:t>Ν</w:t>
      </w:r>
      <w:r>
        <w:t>ΥΜΟ</w:t>
      </w:r>
    </w:p>
    <w:p w:rsidR="0092077B" w:rsidRPr="00827785" w:rsidRDefault="0092077B" w:rsidP="0092077B">
      <w:pPr>
        <w:jc w:val="center"/>
      </w:pPr>
    </w:p>
    <w:p w:rsidR="0092077B" w:rsidRPr="00827785" w:rsidRDefault="0092077B" w:rsidP="00B15D33">
      <w:pPr>
        <w:jc w:val="center"/>
      </w:pPr>
    </w:p>
    <w:sectPr w:rsidR="0092077B" w:rsidRPr="00827785" w:rsidSect="009512BC">
      <w:pgSz w:w="11906" w:h="16838"/>
      <w:pgMar w:top="180" w:right="180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A9B"/>
    <w:multiLevelType w:val="hybridMultilevel"/>
    <w:tmpl w:val="E6C494F6"/>
    <w:lvl w:ilvl="0" w:tplc="047EC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8E1404"/>
    <w:multiLevelType w:val="hybridMultilevel"/>
    <w:tmpl w:val="FA762D62"/>
    <w:lvl w:ilvl="0" w:tplc="AE22DF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96B0D"/>
    <w:multiLevelType w:val="hybridMultilevel"/>
    <w:tmpl w:val="2FEAA9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47E2"/>
    <w:multiLevelType w:val="hybridMultilevel"/>
    <w:tmpl w:val="3648C1BC"/>
    <w:lvl w:ilvl="0" w:tplc="B99AFD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8619A6"/>
    <w:multiLevelType w:val="hybridMultilevel"/>
    <w:tmpl w:val="3648C1BC"/>
    <w:lvl w:ilvl="0" w:tplc="B99AFD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1E590F"/>
    <w:multiLevelType w:val="hybridMultilevel"/>
    <w:tmpl w:val="AB18294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6845D1"/>
    <w:multiLevelType w:val="hybridMultilevel"/>
    <w:tmpl w:val="6660E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11514"/>
    <w:multiLevelType w:val="singleLevel"/>
    <w:tmpl w:val="59B1151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15D33"/>
    <w:rsid w:val="00015F10"/>
    <w:rsid w:val="00077C23"/>
    <w:rsid w:val="00086EF9"/>
    <w:rsid w:val="000874C5"/>
    <w:rsid w:val="000916D9"/>
    <w:rsid w:val="000D77BA"/>
    <w:rsid w:val="000E5C4D"/>
    <w:rsid w:val="000F561A"/>
    <w:rsid w:val="000F7699"/>
    <w:rsid w:val="00106505"/>
    <w:rsid w:val="00114961"/>
    <w:rsid w:val="0016434B"/>
    <w:rsid w:val="001866A6"/>
    <w:rsid w:val="001E1D5C"/>
    <w:rsid w:val="001F1B5F"/>
    <w:rsid w:val="001F4162"/>
    <w:rsid w:val="0020439B"/>
    <w:rsid w:val="00223204"/>
    <w:rsid w:val="00227CED"/>
    <w:rsid w:val="00252D93"/>
    <w:rsid w:val="002534FB"/>
    <w:rsid w:val="002641DE"/>
    <w:rsid w:val="00281688"/>
    <w:rsid w:val="002827AB"/>
    <w:rsid w:val="00283266"/>
    <w:rsid w:val="002E3F53"/>
    <w:rsid w:val="002F5699"/>
    <w:rsid w:val="00304A71"/>
    <w:rsid w:val="00304F4F"/>
    <w:rsid w:val="00317E65"/>
    <w:rsid w:val="00332AC9"/>
    <w:rsid w:val="003355A4"/>
    <w:rsid w:val="00353AA2"/>
    <w:rsid w:val="00355B02"/>
    <w:rsid w:val="00377987"/>
    <w:rsid w:val="00382229"/>
    <w:rsid w:val="003968B0"/>
    <w:rsid w:val="003B3147"/>
    <w:rsid w:val="003B343D"/>
    <w:rsid w:val="003E5D7A"/>
    <w:rsid w:val="003F35D0"/>
    <w:rsid w:val="0040299E"/>
    <w:rsid w:val="0042428B"/>
    <w:rsid w:val="00425880"/>
    <w:rsid w:val="004325B0"/>
    <w:rsid w:val="00465378"/>
    <w:rsid w:val="00466ECC"/>
    <w:rsid w:val="00472074"/>
    <w:rsid w:val="00476E98"/>
    <w:rsid w:val="0049149F"/>
    <w:rsid w:val="00496CDF"/>
    <w:rsid w:val="004A37FF"/>
    <w:rsid w:val="004D2B1D"/>
    <w:rsid w:val="004E6187"/>
    <w:rsid w:val="00532BB3"/>
    <w:rsid w:val="00550540"/>
    <w:rsid w:val="00551512"/>
    <w:rsid w:val="00563007"/>
    <w:rsid w:val="005906BF"/>
    <w:rsid w:val="005A268B"/>
    <w:rsid w:val="005A388D"/>
    <w:rsid w:val="005A428F"/>
    <w:rsid w:val="005B6598"/>
    <w:rsid w:val="005C33AF"/>
    <w:rsid w:val="005D42CE"/>
    <w:rsid w:val="00631F77"/>
    <w:rsid w:val="006608C4"/>
    <w:rsid w:val="00661496"/>
    <w:rsid w:val="006848CA"/>
    <w:rsid w:val="006B56D3"/>
    <w:rsid w:val="006C2EAB"/>
    <w:rsid w:val="006D1A58"/>
    <w:rsid w:val="006D386F"/>
    <w:rsid w:val="006E0AF4"/>
    <w:rsid w:val="007032F0"/>
    <w:rsid w:val="00722F05"/>
    <w:rsid w:val="007374E2"/>
    <w:rsid w:val="00792938"/>
    <w:rsid w:val="00796C73"/>
    <w:rsid w:val="007A7305"/>
    <w:rsid w:val="007C07D3"/>
    <w:rsid w:val="007E1EDD"/>
    <w:rsid w:val="007E4468"/>
    <w:rsid w:val="007F22B9"/>
    <w:rsid w:val="007F4351"/>
    <w:rsid w:val="00801DB0"/>
    <w:rsid w:val="00804613"/>
    <w:rsid w:val="008137F0"/>
    <w:rsid w:val="00827785"/>
    <w:rsid w:val="00886F10"/>
    <w:rsid w:val="008C02FE"/>
    <w:rsid w:val="008C6242"/>
    <w:rsid w:val="008F17F6"/>
    <w:rsid w:val="008F5249"/>
    <w:rsid w:val="008F63AE"/>
    <w:rsid w:val="0092077B"/>
    <w:rsid w:val="009512BC"/>
    <w:rsid w:val="00964515"/>
    <w:rsid w:val="009A5DCA"/>
    <w:rsid w:val="009B7C14"/>
    <w:rsid w:val="00A178A1"/>
    <w:rsid w:val="00A372E6"/>
    <w:rsid w:val="00A45D19"/>
    <w:rsid w:val="00A8052F"/>
    <w:rsid w:val="00A8699F"/>
    <w:rsid w:val="00A90533"/>
    <w:rsid w:val="00AA3784"/>
    <w:rsid w:val="00AA49D8"/>
    <w:rsid w:val="00AB35DB"/>
    <w:rsid w:val="00AB5889"/>
    <w:rsid w:val="00AB6DB0"/>
    <w:rsid w:val="00AE1346"/>
    <w:rsid w:val="00B072D7"/>
    <w:rsid w:val="00B155A5"/>
    <w:rsid w:val="00B15D33"/>
    <w:rsid w:val="00B40C68"/>
    <w:rsid w:val="00B51988"/>
    <w:rsid w:val="00B67404"/>
    <w:rsid w:val="00B72CE3"/>
    <w:rsid w:val="00B9686A"/>
    <w:rsid w:val="00BB08CD"/>
    <w:rsid w:val="00BB6C31"/>
    <w:rsid w:val="00BC65D2"/>
    <w:rsid w:val="00BF1766"/>
    <w:rsid w:val="00BF74B9"/>
    <w:rsid w:val="00C020E4"/>
    <w:rsid w:val="00C21974"/>
    <w:rsid w:val="00C30F7A"/>
    <w:rsid w:val="00C50310"/>
    <w:rsid w:val="00C567CC"/>
    <w:rsid w:val="00C65057"/>
    <w:rsid w:val="00C72C06"/>
    <w:rsid w:val="00C87A9F"/>
    <w:rsid w:val="00CB499A"/>
    <w:rsid w:val="00CB7AF2"/>
    <w:rsid w:val="00CF051E"/>
    <w:rsid w:val="00CF3EF9"/>
    <w:rsid w:val="00D03A21"/>
    <w:rsid w:val="00D04589"/>
    <w:rsid w:val="00D56A6B"/>
    <w:rsid w:val="00D619B8"/>
    <w:rsid w:val="00D61CC0"/>
    <w:rsid w:val="00D808A7"/>
    <w:rsid w:val="00D95036"/>
    <w:rsid w:val="00DB1822"/>
    <w:rsid w:val="00DC0E44"/>
    <w:rsid w:val="00DE6317"/>
    <w:rsid w:val="00DF3FED"/>
    <w:rsid w:val="00E0075B"/>
    <w:rsid w:val="00E31F02"/>
    <w:rsid w:val="00E43656"/>
    <w:rsid w:val="00E7777F"/>
    <w:rsid w:val="00E80E64"/>
    <w:rsid w:val="00E912E4"/>
    <w:rsid w:val="00E957A4"/>
    <w:rsid w:val="00EA62C5"/>
    <w:rsid w:val="00EC6268"/>
    <w:rsid w:val="00EC7631"/>
    <w:rsid w:val="00ED3B14"/>
    <w:rsid w:val="00EE08A5"/>
    <w:rsid w:val="00EF00C4"/>
    <w:rsid w:val="00EF6B58"/>
    <w:rsid w:val="00F16393"/>
    <w:rsid w:val="00F24356"/>
    <w:rsid w:val="00F40B7E"/>
    <w:rsid w:val="00F65543"/>
    <w:rsid w:val="00F71C87"/>
    <w:rsid w:val="00F759B6"/>
    <w:rsid w:val="00F832E6"/>
    <w:rsid w:val="00F93A4B"/>
    <w:rsid w:val="00FE3043"/>
    <w:rsid w:val="00FE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33"/>
    <w:rPr>
      <w:sz w:val="24"/>
      <w:szCs w:val="24"/>
    </w:rPr>
  </w:style>
  <w:style w:type="paragraph" w:styleId="6">
    <w:name w:val="heading 6"/>
    <w:basedOn w:val="a"/>
    <w:next w:val="a"/>
    <w:qFormat/>
    <w:rsid w:val="00B15D33"/>
    <w:pPr>
      <w:keepNext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E31F0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D2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2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678E-A981-45ED-B5C7-FE55B597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Links>
    <vt:vector size="6" baseType="variant"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2pek@otenet.gr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2pekAthinas</cp:lastModifiedBy>
  <cp:revision>8</cp:revision>
  <cp:lastPrinted>2018-02-12T10:11:00Z</cp:lastPrinted>
  <dcterms:created xsi:type="dcterms:W3CDTF">2018-02-12T10:10:00Z</dcterms:created>
  <dcterms:modified xsi:type="dcterms:W3CDTF">2018-02-12T10:38:00Z</dcterms:modified>
</cp:coreProperties>
</file>